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78" w:type="dxa"/>
        <w:tblLayout w:type="fixed"/>
        <w:tblLook w:val="04A0" w:firstRow="1" w:lastRow="0" w:firstColumn="1" w:lastColumn="0" w:noHBand="0" w:noVBand="1"/>
      </w:tblPr>
      <w:tblGrid>
        <w:gridCol w:w="3745"/>
        <w:gridCol w:w="3653"/>
        <w:gridCol w:w="900"/>
        <w:gridCol w:w="1980"/>
      </w:tblGrid>
      <w:tr w:rsidR="00593E5F" w:rsidRPr="004204DE" w:rsidTr="00593E5F">
        <w:trPr>
          <w:trHeight w:val="300"/>
        </w:trPr>
        <w:tc>
          <w:tcPr>
            <w:tcW w:w="3745" w:type="dxa"/>
            <w:noWrap/>
          </w:tcPr>
          <w:p w:rsidR="00593E5F" w:rsidRPr="004204DE" w:rsidRDefault="00593E5F" w:rsidP="0061543C">
            <w:pPr>
              <w:jc w:val="center"/>
              <w:rPr>
                <w:rFonts w:ascii="David" w:hAnsi="David" w:cs="David"/>
                <w:sz w:val="40"/>
                <w:szCs w:val="40"/>
              </w:rPr>
            </w:pPr>
            <w:bookmarkStart w:id="0" w:name="_GoBack"/>
          </w:p>
        </w:tc>
        <w:tc>
          <w:tcPr>
            <w:tcW w:w="3653" w:type="dxa"/>
            <w:noWrap/>
          </w:tcPr>
          <w:p w:rsidR="00593E5F" w:rsidRPr="004204DE" w:rsidRDefault="00593E5F" w:rsidP="0061543C">
            <w:pPr>
              <w:jc w:val="center"/>
              <w:rPr>
                <w:rFonts w:ascii="David" w:hAnsi="David" w:cs="David"/>
                <w:sz w:val="40"/>
                <w:szCs w:val="40"/>
              </w:rPr>
            </w:pPr>
            <w:r>
              <w:rPr>
                <w:rFonts w:ascii="David" w:hAnsi="David" w:cs="David" w:hint="cs"/>
                <w:sz w:val="40"/>
                <w:szCs w:val="40"/>
                <w:rtl/>
              </w:rPr>
              <w:t>אורולוגיה</w:t>
            </w:r>
          </w:p>
        </w:tc>
        <w:tc>
          <w:tcPr>
            <w:tcW w:w="900" w:type="dxa"/>
            <w:noWrap/>
          </w:tcPr>
          <w:p w:rsidR="00593E5F" w:rsidRPr="004204DE" w:rsidRDefault="00593E5F" w:rsidP="0061543C">
            <w:pPr>
              <w:jc w:val="center"/>
              <w:rPr>
                <w:rFonts w:ascii="David" w:hAnsi="David" w:cs="David"/>
                <w:sz w:val="40"/>
                <w:szCs w:val="40"/>
              </w:rPr>
            </w:pPr>
          </w:p>
        </w:tc>
        <w:tc>
          <w:tcPr>
            <w:tcW w:w="1980" w:type="dxa"/>
            <w:noWrap/>
          </w:tcPr>
          <w:p w:rsidR="00593E5F" w:rsidRPr="004204DE" w:rsidRDefault="00593E5F" w:rsidP="0061543C">
            <w:pPr>
              <w:jc w:val="center"/>
              <w:rPr>
                <w:rFonts w:ascii="David" w:hAnsi="David" w:cs="David"/>
                <w:sz w:val="40"/>
                <w:szCs w:val="40"/>
              </w:rPr>
            </w:pPr>
          </w:p>
        </w:tc>
      </w:tr>
      <w:tr w:rsidR="00593E5F" w:rsidRPr="004204DE" w:rsidTr="00593E5F">
        <w:trPr>
          <w:trHeight w:val="300"/>
        </w:trPr>
        <w:tc>
          <w:tcPr>
            <w:tcW w:w="3745" w:type="dxa"/>
            <w:shd w:val="clear" w:color="auto" w:fill="C6D9F1" w:themeFill="text2" w:themeFillTint="33"/>
            <w:noWrap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Authors</w:t>
            </w:r>
          </w:p>
        </w:tc>
        <w:tc>
          <w:tcPr>
            <w:tcW w:w="3653" w:type="dxa"/>
            <w:shd w:val="clear" w:color="auto" w:fill="C6D9F1" w:themeFill="text2" w:themeFillTint="33"/>
            <w:noWrap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Title</w:t>
            </w:r>
          </w:p>
        </w:tc>
        <w:tc>
          <w:tcPr>
            <w:tcW w:w="900" w:type="dxa"/>
            <w:shd w:val="clear" w:color="auto" w:fill="C6D9F1" w:themeFill="text2" w:themeFillTint="33"/>
            <w:noWrap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Year</w:t>
            </w:r>
          </w:p>
        </w:tc>
        <w:tc>
          <w:tcPr>
            <w:tcW w:w="1980" w:type="dxa"/>
            <w:shd w:val="clear" w:color="auto" w:fill="C6D9F1" w:themeFill="text2" w:themeFillTint="33"/>
            <w:noWrap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  <w:b/>
                <w:bCs/>
              </w:rPr>
            </w:pPr>
            <w:r w:rsidRPr="004204DE">
              <w:rPr>
                <w:rFonts w:ascii="David" w:hAnsi="David" w:cs="David"/>
                <w:b/>
                <w:bCs/>
              </w:rPr>
              <w:t>Source title</w:t>
            </w:r>
          </w:p>
        </w:tc>
      </w:tr>
      <w:tr w:rsidR="00593E5F" w:rsidRPr="004204DE" w:rsidTr="00593E5F">
        <w:trPr>
          <w:trHeight w:val="300"/>
        </w:trPr>
        <w:tc>
          <w:tcPr>
            <w:tcW w:w="3745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Kesari</w:t>
            </w:r>
            <w:proofErr w:type="spellEnd"/>
            <w:r w:rsidRPr="004204DE">
              <w:rPr>
                <w:rFonts w:ascii="David" w:hAnsi="David" w:cs="David"/>
              </w:rPr>
              <w:t xml:space="preserve"> D., Benjamin J., </w:t>
            </w:r>
            <w:proofErr w:type="spellStart"/>
            <w:r w:rsidRPr="004204DE">
              <w:rPr>
                <w:rFonts w:ascii="David" w:hAnsi="David" w:cs="David"/>
              </w:rPr>
              <w:t>Podberezsky</w:t>
            </w:r>
            <w:proofErr w:type="spellEnd"/>
            <w:r w:rsidRPr="004204DE">
              <w:rPr>
                <w:rFonts w:ascii="David" w:hAnsi="David" w:cs="David"/>
              </w:rPr>
              <w:t xml:space="preserve"> A., </w:t>
            </w:r>
            <w:proofErr w:type="spellStart"/>
            <w:r w:rsidRPr="004204DE">
              <w:rPr>
                <w:rFonts w:ascii="David" w:hAnsi="David" w:cs="David"/>
              </w:rPr>
              <w:t>Yulish</w:t>
            </w:r>
            <w:proofErr w:type="spellEnd"/>
            <w:r w:rsidRPr="004204DE">
              <w:rPr>
                <w:rFonts w:ascii="David" w:hAnsi="David" w:cs="David"/>
              </w:rPr>
              <w:t xml:space="preserve"> E., </w:t>
            </w:r>
            <w:proofErr w:type="spellStart"/>
            <w:r w:rsidRPr="004204DE">
              <w:rPr>
                <w:rFonts w:ascii="David" w:hAnsi="David" w:cs="David"/>
              </w:rPr>
              <w:t>Lobik</w:t>
            </w:r>
            <w:proofErr w:type="spellEnd"/>
            <w:r w:rsidRPr="004204DE">
              <w:rPr>
                <w:rFonts w:ascii="David" w:hAnsi="David" w:cs="David"/>
              </w:rPr>
              <w:t xml:space="preserve"> L., </w:t>
            </w:r>
            <w:proofErr w:type="spellStart"/>
            <w:r w:rsidRPr="004204DE">
              <w:rPr>
                <w:rFonts w:ascii="David" w:hAnsi="David" w:cs="David"/>
              </w:rPr>
              <w:t>Sumalinsky</w:t>
            </w:r>
            <w:proofErr w:type="spellEnd"/>
            <w:r w:rsidRPr="004204DE">
              <w:rPr>
                <w:rFonts w:ascii="David" w:hAnsi="David" w:cs="David"/>
              </w:rPr>
              <w:t xml:space="preserve"> D., </w:t>
            </w:r>
            <w:proofErr w:type="spellStart"/>
            <w:r w:rsidRPr="004204DE">
              <w:rPr>
                <w:rFonts w:ascii="David" w:hAnsi="David" w:cs="David"/>
              </w:rPr>
              <w:t>Cytron</w:t>
            </w:r>
            <w:proofErr w:type="spellEnd"/>
            <w:r w:rsidRPr="004204DE">
              <w:rPr>
                <w:rFonts w:ascii="David" w:hAnsi="David" w:cs="David"/>
              </w:rPr>
              <w:t xml:space="preserve"> S.</w:t>
            </w:r>
          </w:p>
        </w:tc>
        <w:tc>
          <w:tcPr>
            <w:tcW w:w="3653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Influence of demography and personality on patient choice of treatment in symptomatic benign prostate hyperplasia</w:t>
            </w:r>
          </w:p>
        </w:tc>
        <w:tc>
          <w:tcPr>
            <w:tcW w:w="90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2015</w:t>
            </w:r>
          </w:p>
        </w:tc>
        <w:tc>
          <w:tcPr>
            <w:tcW w:w="198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Israel Medical Association Journal</w:t>
            </w:r>
          </w:p>
        </w:tc>
      </w:tr>
      <w:tr w:rsidR="00593E5F" w:rsidRPr="004204DE" w:rsidTr="00593E5F">
        <w:trPr>
          <w:trHeight w:val="300"/>
        </w:trPr>
        <w:tc>
          <w:tcPr>
            <w:tcW w:w="3745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Goldbart</w:t>
            </w:r>
            <w:proofErr w:type="spellEnd"/>
            <w:r w:rsidRPr="004204DE">
              <w:rPr>
                <w:rFonts w:ascii="David" w:hAnsi="David" w:cs="David"/>
              </w:rPr>
              <w:t xml:space="preserve"> O., </w:t>
            </w:r>
            <w:proofErr w:type="spellStart"/>
            <w:r w:rsidRPr="004204DE">
              <w:rPr>
                <w:rFonts w:ascii="David" w:hAnsi="David" w:cs="David"/>
              </w:rPr>
              <w:t>Sedova</w:t>
            </w:r>
            <w:proofErr w:type="spellEnd"/>
            <w:r w:rsidRPr="004204DE">
              <w:rPr>
                <w:rFonts w:ascii="David" w:hAnsi="David" w:cs="David"/>
              </w:rPr>
              <w:t xml:space="preserve"> A., </w:t>
            </w:r>
            <w:proofErr w:type="spellStart"/>
            <w:r w:rsidRPr="004204DE">
              <w:rPr>
                <w:rFonts w:ascii="David" w:hAnsi="David" w:cs="David"/>
              </w:rPr>
              <w:t>Yadgarov</w:t>
            </w:r>
            <w:proofErr w:type="spellEnd"/>
            <w:r w:rsidRPr="004204DE">
              <w:rPr>
                <w:rFonts w:ascii="David" w:hAnsi="David" w:cs="David"/>
              </w:rPr>
              <w:t xml:space="preserve"> L., </w:t>
            </w:r>
            <w:proofErr w:type="spellStart"/>
            <w:r w:rsidRPr="004204DE">
              <w:rPr>
                <w:rFonts w:ascii="David" w:hAnsi="David" w:cs="David"/>
              </w:rPr>
              <w:t>Rosentsveig</w:t>
            </w:r>
            <w:proofErr w:type="spellEnd"/>
            <w:r w:rsidRPr="004204DE">
              <w:rPr>
                <w:rFonts w:ascii="David" w:hAnsi="David" w:cs="David"/>
              </w:rPr>
              <w:t xml:space="preserve"> R., </w:t>
            </w:r>
            <w:proofErr w:type="spellStart"/>
            <w:r w:rsidRPr="004204DE">
              <w:rPr>
                <w:rFonts w:ascii="David" w:hAnsi="David" w:cs="David"/>
              </w:rPr>
              <w:t>Shumalinsky</w:t>
            </w:r>
            <w:proofErr w:type="spellEnd"/>
            <w:r w:rsidRPr="004204DE">
              <w:rPr>
                <w:rFonts w:ascii="David" w:hAnsi="David" w:cs="David"/>
              </w:rPr>
              <w:t xml:space="preserve"> D., </w:t>
            </w:r>
            <w:proofErr w:type="spellStart"/>
            <w:r w:rsidRPr="004204DE">
              <w:rPr>
                <w:rFonts w:ascii="David" w:hAnsi="David" w:cs="David"/>
              </w:rPr>
              <w:t>Lobik</w:t>
            </w:r>
            <w:proofErr w:type="spellEnd"/>
            <w:r w:rsidRPr="004204DE">
              <w:rPr>
                <w:rFonts w:ascii="David" w:hAnsi="David" w:cs="David"/>
              </w:rPr>
              <w:t xml:space="preserve"> L., Wagner H.D., </w:t>
            </w:r>
            <w:proofErr w:type="spellStart"/>
            <w:r w:rsidRPr="004204DE">
              <w:rPr>
                <w:rFonts w:ascii="David" w:hAnsi="David" w:cs="David"/>
              </w:rPr>
              <w:t>Tenne</w:t>
            </w:r>
            <w:proofErr w:type="spellEnd"/>
            <w:r w:rsidRPr="004204DE">
              <w:rPr>
                <w:rFonts w:ascii="David" w:hAnsi="David" w:cs="David"/>
              </w:rPr>
              <w:t xml:space="preserve"> R.</w:t>
            </w:r>
          </w:p>
        </w:tc>
        <w:tc>
          <w:tcPr>
            <w:tcW w:w="3653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Lubricating medical devices with fullerene-like nanoparticles</w:t>
            </w:r>
          </w:p>
        </w:tc>
        <w:tc>
          <w:tcPr>
            <w:tcW w:w="90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2014</w:t>
            </w:r>
          </w:p>
        </w:tc>
        <w:tc>
          <w:tcPr>
            <w:tcW w:w="198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Tribology Letters</w:t>
            </w:r>
          </w:p>
        </w:tc>
      </w:tr>
      <w:tr w:rsidR="00593E5F" w:rsidRPr="004204DE" w:rsidTr="00593E5F">
        <w:trPr>
          <w:trHeight w:val="300"/>
        </w:trPr>
        <w:tc>
          <w:tcPr>
            <w:tcW w:w="3745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Goldbart</w:t>
            </w:r>
            <w:proofErr w:type="spellEnd"/>
            <w:r w:rsidRPr="004204DE">
              <w:rPr>
                <w:rFonts w:ascii="David" w:hAnsi="David" w:cs="David"/>
              </w:rPr>
              <w:t xml:space="preserve"> O., </w:t>
            </w:r>
            <w:proofErr w:type="spellStart"/>
            <w:r w:rsidRPr="004204DE">
              <w:rPr>
                <w:rFonts w:ascii="David" w:hAnsi="David" w:cs="David"/>
              </w:rPr>
              <w:t>Elianov</w:t>
            </w:r>
            <w:proofErr w:type="spellEnd"/>
            <w:r w:rsidRPr="004204DE">
              <w:rPr>
                <w:rFonts w:ascii="David" w:hAnsi="David" w:cs="David"/>
              </w:rPr>
              <w:t xml:space="preserve"> O., </w:t>
            </w:r>
            <w:proofErr w:type="spellStart"/>
            <w:r w:rsidRPr="004204DE">
              <w:rPr>
                <w:rFonts w:ascii="David" w:hAnsi="David" w:cs="David"/>
              </w:rPr>
              <w:t>Shumalinsky</w:t>
            </w:r>
            <w:proofErr w:type="spellEnd"/>
            <w:r w:rsidRPr="004204DE">
              <w:rPr>
                <w:rFonts w:ascii="David" w:hAnsi="David" w:cs="David"/>
              </w:rPr>
              <w:t xml:space="preserve"> D., </w:t>
            </w:r>
            <w:proofErr w:type="spellStart"/>
            <w:r w:rsidRPr="004204DE">
              <w:rPr>
                <w:rFonts w:ascii="David" w:hAnsi="David" w:cs="David"/>
              </w:rPr>
              <w:t>Lobik</w:t>
            </w:r>
            <w:proofErr w:type="spellEnd"/>
            <w:r w:rsidRPr="004204DE">
              <w:rPr>
                <w:rFonts w:ascii="David" w:hAnsi="David" w:cs="David"/>
              </w:rPr>
              <w:t xml:space="preserve"> L., </w:t>
            </w:r>
            <w:proofErr w:type="spellStart"/>
            <w:r w:rsidRPr="004204DE">
              <w:rPr>
                <w:rFonts w:ascii="David" w:hAnsi="David" w:cs="David"/>
              </w:rPr>
              <w:t>Cytron</w:t>
            </w:r>
            <w:proofErr w:type="spellEnd"/>
            <w:r w:rsidRPr="004204DE">
              <w:rPr>
                <w:rFonts w:ascii="David" w:hAnsi="David" w:cs="David"/>
              </w:rPr>
              <w:t xml:space="preserve"> S., </w:t>
            </w:r>
            <w:proofErr w:type="spellStart"/>
            <w:r w:rsidRPr="004204DE">
              <w:rPr>
                <w:rFonts w:ascii="David" w:hAnsi="David" w:cs="David"/>
              </w:rPr>
              <w:t>Rosentsveig</w:t>
            </w:r>
            <w:proofErr w:type="spellEnd"/>
            <w:r w:rsidRPr="004204DE">
              <w:rPr>
                <w:rFonts w:ascii="David" w:hAnsi="David" w:cs="David"/>
              </w:rPr>
              <w:t xml:space="preserve"> R., Wagner H.D., </w:t>
            </w:r>
            <w:proofErr w:type="spellStart"/>
            <w:r w:rsidRPr="004204DE">
              <w:rPr>
                <w:rFonts w:ascii="David" w:hAnsi="David" w:cs="David"/>
              </w:rPr>
              <w:t>Tenne</w:t>
            </w:r>
            <w:proofErr w:type="spellEnd"/>
            <w:r w:rsidRPr="004204DE">
              <w:rPr>
                <w:rFonts w:ascii="David" w:hAnsi="David" w:cs="David"/>
              </w:rPr>
              <w:t xml:space="preserve"> R.</w:t>
            </w:r>
          </w:p>
        </w:tc>
        <w:tc>
          <w:tcPr>
            <w:tcW w:w="3653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Study of urological devices coated with fullerene-like nanoparticles</w:t>
            </w:r>
          </w:p>
        </w:tc>
        <w:tc>
          <w:tcPr>
            <w:tcW w:w="90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2013</w:t>
            </w:r>
          </w:p>
        </w:tc>
        <w:tc>
          <w:tcPr>
            <w:tcW w:w="198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Nanoscale</w:t>
            </w:r>
          </w:p>
        </w:tc>
      </w:tr>
      <w:tr w:rsidR="00593E5F" w:rsidRPr="004204DE" w:rsidTr="00593E5F">
        <w:trPr>
          <w:trHeight w:val="300"/>
        </w:trPr>
        <w:tc>
          <w:tcPr>
            <w:tcW w:w="3745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Kravchick</w:t>
            </w:r>
            <w:proofErr w:type="spellEnd"/>
            <w:r w:rsidRPr="004204DE">
              <w:rPr>
                <w:rFonts w:ascii="David" w:hAnsi="David" w:cs="David"/>
              </w:rPr>
              <w:t xml:space="preserve"> S., </w:t>
            </w:r>
            <w:proofErr w:type="spellStart"/>
            <w:r w:rsidRPr="004204DE">
              <w:rPr>
                <w:rFonts w:ascii="David" w:hAnsi="David" w:cs="David"/>
              </w:rPr>
              <w:t>Lobik</w:t>
            </w:r>
            <w:proofErr w:type="spellEnd"/>
            <w:r w:rsidRPr="004204DE">
              <w:rPr>
                <w:rFonts w:ascii="David" w:hAnsi="David" w:cs="David"/>
              </w:rPr>
              <w:t xml:space="preserve"> L., </w:t>
            </w:r>
            <w:proofErr w:type="spellStart"/>
            <w:r w:rsidRPr="004204DE">
              <w:rPr>
                <w:rFonts w:ascii="David" w:hAnsi="David" w:cs="David"/>
              </w:rPr>
              <w:t>Peled</w:t>
            </w:r>
            <w:proofErr w:type="spellEnd"/>
            <w:r w:rsidRPr="004204DE">
              <w:rPr>
                <w:rFonts w:ascii="David" w:hAnsi="David" w:cs="David"/>
              </w:rPr>
              <w:t xml:space="preserve"> R., </w:t>
            </w:r>
            <w:proofErr w:type="spellStart"/>
            <w:r w:rsidRPr="004204DE">
              <w:rPr>
                <w:rFonts w:ascii="David" w:hAnsi="David" w:cs="David"/>
              </w:rPr>
              <w:t>Cytron</w:t>
            </w:r>
            <w:proofErr w:type="spellEnd"/>
            <w:r w:rsidRPr="004204DE">
              <w:rPr>
                <w:rFonts w:ascii="David" w:hAnsi="David" w:cs="David"/>
              </w:rPr>
              <w:t xml:space="preserve"> S.</w:t>
            </w:r>
          </w:p>
        </w:tc>
        <w:tc>
          <w:tcPr>
            <w:tcW w:w="3653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Transrectal</w:t>
            </w:r>
            <w:proofErr w:type="spellEnd"/>
            <w:r w:rsidRPr="004204DE">
              <w:rPr>
                <w:rFonts w:ascii="David" w:hAnsi="David" w:cs="David"/>
              </w:rPr>
              <w:t xml:space="preserve"> ultrasonography-guided injection of long-acting steroids in the treatment of recurrent/resistant anastomotic stenosis after radical prostatectomy</w:t>
            </w:r>
          </w:p>
        </w:tc>
        <w:tc>
          <w:tcPr>
            <w:tcW w:w="90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2013</w:t>
            </w:r>
          </w:p>
        </w:tc>
        <w:tc>
          <w:tcPr>
            <w:tcW w:w="198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 xml:space="preserve">Journal of </w:t>
            </w:r>
            <w:proofErr w:type="spellStart"/>
            <w:r w:rsidRPr="004204DE">
              <w:rPr>
                <w:rFonts w:ascii="David" w:hAnsi="David" w:cs="David"/>
              </w:rPr>
              <w:t>Endourology</w:t>
            </w:r>
            <w:proofErr w:type="spellEnd"/>
          </w:p>
        </w:tc>
      </w:tr>
      <w:tr w:rsidR="00593E5F" w:rsidRPr="004204DE" w:rsidTr="00593E5F">
        <w:trPr>
          <w:trHeight w:val="300"/>
        </w:trPr>
        <w:tc>
          <w:tcPr>
            <w:tcW w:w="3745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Melchert</w:t>
            </w:r>
            <w:proofErr w:type="spellEnd"/>
            <w:r w:rsidRPr="004204DE">
              <w:rPr>
                <w:rFonts w:ascii="David" w:hAnsi="David" w:cs="David"/>
              </w:rPr>
              <w:t xml:space="preserve"> C., </w:t>
            </w:r>
            <w:proofErr w:type="spellStart"/>
            <w:r w:rsidRPr="004204DE">
              <w:rPr>
                <w:rFonts w:ascii="David" w:hAnsi="David" w:cs="David"/>
              </w:rPr>
              <w:t>Gez</w:t>
            </w:r>
            <w:proofErr w:type="spellEnd"/>
            <w:r w:rsidRPr="004204DE">
              <w:rPr>
                <w:rFonts w:ascii="David" w:hAnsi="David" w:cs="David"/>
              </w:rPr>
              <w:t xml:space="preserve"> E., Bohlen G., </w:t>
            </w:r>
            <w:proofErr w:type="spellStart"/>
            <w:r w:rsidRPr="004204DE">
              <w:rPr>
                <w:rFonts w:ascii="David" w:hAnsi="David" w:cs="David"/>
              </w:rPr>
              <w:t>Scarzello</w:t>
            </w:r>
            <w:proofErr w:type="spellEnd"/>
            <w:r w:rsidRPr="004204DE">
              <w:rPr>
                <w:rFonts w:ascii="David" w:hAnsi="David" w:cs="David"/>
              </w:rPr>
              <w:t xml:space="preserve"> G., </w:t>
            </w:r>
            <w:proofErr w:type="spellStart"/>
            <w:r w:rsidRPr="004204DE">
              <w:rPr>
                <w:rFonts w:ascii="David" w:hAnsi="David" w:cs="David"/>
              </w:rPr>
              <w:t>Koziol</w:t>
            </w:r>
            <w:proofErr w:type="spellEnd"/>
            <w:r w:rsidRPr="004204DE">
              <w:rPr>
                <w:rFonts w:ascii="David" w:hAnsi="David" w:cs="David"/>
              </w:rPr>
              <w:t xml:space="preserve"> I., </w:t>
            </w:r>
            <w:proofErr w:type="spellStart"/>
            <w:r w:rsidRPr="004204DE">
              <w:rPr>
                <w:rFonts w:ascii="David" w:hAnsi="David" w:cs="David"/>
              </w:rPr>
              <w:t>Anscher</w:t>
            </w:r>
            <w:proofErr w:type="spellEnd"/>
            <w:r w:rsidRPr="004204DE">
              <w:rPr>
                <w:rFonts w:ascii="David" w:hAnsi="David" w:cs="David"/>
              </w:rPr>
              <w:t xml:space="preserve"> M., </w:t>
            </w:r>
            <w:proofErr w:type="spellStart"/>
            <w:r w:rsidRPr="004204DE">
              <w:rPr>
                <w:rFonts w:ascii="David" w:hAnsi="David" w:cs="David"/>
              </w:rPr>
              <w:t>Cytron</w:t>
            </w:r>
            <w:proofErr w:type="spellEnd"/>
            <w:r w:rsidRPr="004204DE">
              <w:rPr>
                <w:rFonts w:ascii="David" w:hAnsi="David" w:cs="David"/>
              </w:rPr>
              <w:t xml:space="preserve"> S., Paz A., Torre T., </w:t>
            </w:r>
            <w:proofErr w:type="spellStart"/>
            <w:r w:rsidRPr="004204DE">
              <w:rPr>
                <w:rFonts w:ascii="David" w:hAnsi="David" w:cs="David"/>
              </w:rPr>
              <w:t>Bassignani</w:t>
            </w:r>
            <w:proofErr w:type="spellEnd"/>
            <w:r w:rsidRPr="004204DE">
              <w:rPr>
                <w:rFonts w:ascii="David" w:hAnsi="David" w:cs="David"/>
              </w:rPr>
              <w:t xml:space="preserve"> M., Dal Moro F., </w:t>
            </w:r>
            <w:proofErr w:type="spellStart"/>
            <w:r w:rsidRPr="004204DE">
              <w:rPr>
                <w:rFonts w:ascii="David" w:hAnsi="David" w:cs="David"/>
              </w:rPr>
              <w:t>Jocham</w:t>
            </w:r>
            <w:proofErr w:type="spellEnd"/>
            <w:r w:rsidRPr="004204DE">
              <w:rPr>
                <w:rFonts w:ascii="David" w:hAnsi="David" w:cs="David"/>
              </w:rPr>
              <w:t xml:space="preserve"> D., Yosef R.B., Corn B.W., </w:t>
            </w:r>
            <w:proofErr w:type="spellStart"/>
            <w:r w:rsidRPr="004204DE">
              <w:rPr>
                <w:rFonts w:ascii="David" w:hAnsi="David" w:cs="David"/>
              </w:rPr>
              <w:t>Kovács</w:t>
            </w:r>
            <w:proofErr w:type="spellEnd"/>
            <w:r w:rsidRPr="004204DE">
              <w:rPr>
                <w:rFonts w:ascii="David" w:hAnsi="David" w:cs="David"/>
              </w:rPr>
              <w:t xml:space="preserve"> G.</w:t>
            </w:r>
          </w:p>
        </w:tc>
        <w:tc>
          <w:tcPr>
            <w:tcW w:w="3653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Interstitial biodegradable balloon for reduced rectal dose during prostate radiotherapy: Results of a virtual planning investigation based on the pre- and post-implant imaging data of an international multicenter study</w:t>
            </w:r>
          </w:p>
        </w:tc>
        <w:tc>
          <w:tcPr>
            <w:tcW w:w="90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2013</w:t>
            </w:r>
          </w:p>
        </w:tc>
        <w:tc>
          <w:tcPr>
            <w:tcW w:w="198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Radiotherapy and Oncology</w:t>
            </w:r>
          </w:p>
        </w:tc>
      </w:tr>
      <w:tr w:rsidR="00593E5F" w:rsidRPr="004204DE" w:rsidTr="00593E5F">
        <w:trPr>
          <w:trHeight w:val="300"/>
        </w:trPr>
        <w:tc>
          <w:tcPr>
            <w:tcW w:w="3745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proofErr w:type="spellStart"/>
            <w:r w:rsidRPr="004204DE">
              <w:rPr>
                <w:rFonts w:ascii="David" w:hAnsi="David" w:cs="David"/>
              </w:rPr>
              <w:t>Kravchick</w:t>
            </w:r>
            <w:proofErr w:type="spellEnd"/>
            <w:r w:rsidRPr="004204DE">
              <w:rPr>
                <w:rFonts w:ascii="David" w:hAnsi="David" w:cs="David"/>
              </w:rPr>
              <w:t xml:space="preserve"> S., </w:t>
            </w:r>
            <w:proofErr w:type="spellStart"/>
            <w:r w:rsidRPr="004204DE">
              <w:rPr>
                <w:rFonts w:ascii="David" w:hAnsi="David" w:cs="David"/>
              </w:rPr>
              <w:t>Peled</w:t>
            </w:r>
            <w:proofErr w:type="spellEnd"/>
            <w:r w:rsidRPr="004204DE">
              <w:rPr>
                <w:rFonts w:ascii="David" w:hAnsi="David" w:cs="David"/>
              </w:rPr>
              <w:t xml:space="preserve"> R., </w:t>
            </w:r>
            <w:proofErr w:type="spellStart"/>
            <w:r w:rsidRPr="004204DE">
              <w:rPr>
                <w:rFonts w:ascii="David" w:hAnsi="David" w:cs="David"/>
              </w:rPr>
              <w:t>Cytron</w:t>
            </w:r>
            <w:proofErr w:type="spellEnd"/>
            <w:r w:rsidRPr="004204DE">
              <w:rPr>
                <w:rFonts w:ascii="David" w:hAnsi="David" w:cs="David"/>
              </w:rPr>
              <w:t xml:space="preserve"> S.</w:t>
            </w:r>
          </w:p>
        </w:tc>
        <w:tc>
          <w:tcPr>
            <w:tcW w:w="3653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Watchful waiting and active surveillance approach in patients with low risk localized prostatic cancer: An experience of out-patients clinic with 12-year follow-up</w:t>
            </w:r>
          </w:p>
        </w:tc>
        <w:tc>
          <w:tcPr>
            <w:tcW w:w="90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2011</w:t>
            </w:r>
          </w:p>
        </w:tc>
        <w:tc>
          <w:tcPr>
            <w:tcW w:w="1980" w:type="dxa"/>
            <w:noWrap/>
            <w:hideMark/>
          </w:tcPr>
          <w:p w:rsidR="00593E5F" w:rsidRPr="004204DE" w:rsidRDefault="00593E5F" w:rsidP="0061543C">
            <w:pPr>
              <w:spacing w:line="276" w:lineRule="auto"/>
              <w:rPr>
                <w:rFonts w:ascii="David" w:hAnsi="David" w:cs="David"/>
              </w:rPr>
            </w:pPr>
            <w:r w:rsidRPr="004204DE">
              <w:rPr>
                <w:rFonts w:ascii="David" w:hAnsi="David" w:cs="David"/>
              </w:rPr>
              <w:t>Pathology and Oncology Research</w:t>
            </w:r>
          </w:p>
        </w:tc>
      </w:tr>
      <w:bookmarkEnd w:id="0"/>
    </w:tbl>
    <w:p w:rsidR="003B0A2B" w:rsidRDefault="003B0A2B"/>
    <w:sectPr w:rsidR="003B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5F"/>
    <w:rsid w:val="00001ED6"/>
    <w:rsid w:val="00003077"/>
    <w:rsid w:val="00004224"/>
    <w:rsid w:val="000064B1"/>
    <w:rsid w:val="00013A02"/>
    <w:rsid w:val="00020391"/>
    <w:rsid w:val="000240EB"/>
    <w:rsid w:val="00024B4E"/>
    <w:rsid w:val="00025665"/>
    <w:rsid w:val="0002795C"/>
    <w:rsid w:val="000313CD"/>
    <w:rsid w:val="00033591"/>
    <w:rsid w:val="00036AB5"/>
    <w:rsid w:val="000409D9"/>
    <w:rsid w:val="000444D4"/>
    <w:rsid w:val="00053899"/>
    <w:rsid w:val="00053CFE"/>
    <w:rsid w:val="00054811"/>
    <w:rsid w:val="00060F20"/>
    <w:rsid w:val="0006237D"/>
    <w:rsid w:val="000642B9"/>
    <w:rsid w:val="0008033E"/>
    <w:rsid w:val="00082C75"/>
    <w:rsid w:val="000831E4"/>
    <w:rsid w:val="00087A03"/>
    <w:rsid w:val="000923CC"/>
    <w:rsid w:val="000B18E2"/>
    <w:rsid w:val="000B21B6"/>
    <w:rsid w:val="000B2AA0"/>
    <w:rsid w:val="000B335B"/>
    <w:rsid w:val="000B5E21"/>
    <w:rsid w:val="000B7D4E"/>
    <w:rsid w:val="000C4541"/>
    <w:rsid w:val="000C4D72"/>
    <w:rsid w:val="000D1BCE"/>
    <w:rsid w:val="000D44FB"/>
    <w:rsid w:val="000D7D6D"/>
    <w:rsid w:val="000E3AC2"/>
    <w:rsid w:val="000E55A8"/>
    <w:rsid w:val="000E6406"/>
    <w:rsid w:val="000F1426"/>
    <w:rsid w:val="000F43A5"/>
    <w:rsid w:val="000F4B02"/>
    <w:rsid w:val="000F6224"/>
    <w:rsid w:val="000F6257"/>
    <w:rsid w:val="00100C71"/>
    <w:rsid w:val="001034CA"/>
    <w:rsid w:val="0010606C"/>
    <w:rsid w:val="00111BB5"/>
    <w:rsid w:val="00116C88"/>
    <w:rsid w:val="001215E0"/>
    <w:rsid w:val="001312F2"/>
    <w:rsid w:val="00136651"/>
    <w:rsid w:val="001425B5"/>
    <w:rsid w:val="00143B75"/>
    <w:rsid w:val="00147F33"/>
    <w:rsid w:val="00152127"/>
    <w:rsid w:val="001542FA"/>
    <w:rsid w:val="00156029"/>
    <w:rsid w:val="00162F74"/>
    <w:rsid w:val="001634D8"/>
    <w:rsid w:val="00164209"/>
    <w:rsid w:val="001655C2"/>
    <w:rsid w:val="00166AAB"/>
    <w:rsid w:val="00173F49"/>
    <w:rsid w:val="0017479D"/>
    <w:rsid w:val="00177A8A"/>
    <w:rsid w:val="00181311"/>
    <w:rsid w:val="0018296C"/>
    <w:rsid w:val="00187316"/>
    <w:rsid w:val="001A2E6D"/>
    <w:rsid w:val="001A64D8"/>
    <w:rsid w:val="001A6CE9"/>
    <w:rsid w:val="001A718A"/>
    <w:rsid w:val="001C775B"/>
    <w:rsid w:val="001D27E8"/>
    <w:rsid w:val="001D3922"/>
    <w:rsid w:val="001D39F1"/>
    <w:rsid w:val="001E4025"/>
    <w:rsid w:val="001E764E"/>
    <w:rsid w:val="001E7DF5"/>
    <w:rsid w:val="001F6344"/>
    <w:rsid w:val="001F77FB"/>
    <w:rsid w:val="00221A9A"/>
    <w:rsid w:val="002373A9"/>
    <w:rsid w:val="00241CFA"/>
    <w:rsid w:val="00243D20"/>
    <w:rsid w:val="00246E25"/>
    <w:rsid w:val="00255B47"/>
    <w:rsid w:val="00260C32"/>
    <w:rsid w:val="00267968"/>
    <w:rsid w:val="00272FA8"/>
    <w:rsid w:val="002740B9"/>
    <w:rsid w:val="00277F6B"/>
    <w:rsid w:val="0028057B"/>
    <w:rsid w:val="00290A42"/>
    <w:rsid w:val="00290EFD"/>
    <w:rsid w:val="00294BD3"/>
    <w:rsid w:val="002A0F6C"/>
    <w:rsid w:val="002A5ACE"/>
    <w:rsid w:val="002A7D53"/>
    <w:rsid w:val="002B0E9B"/>
    <w:rsid w:val="002B2E1D"/>
    <w:rsid w:val="002B306E"/>
    <w:rsid w:val="002B58D2"/>
    <w:rsid w:val="002B65EA"/>
    <w:rsid w:val="002B76C1"/>
    <w:rsid w:val="002C416E"/>
    <w:rsid w:val="002C6DC2"/>
    <w:rsid w:val="002D1BC7"/>
    <w:rsid w:val="002D350E"/>
    <w:rsid w:val="002E07E0"/>
    <w:rsid w:val="002E0B67"/>
    <w:rsid w:val="002E41DA"/>
    <w:rsid w:val="002E531E"/>
    <w:rsid w:val="002E6A03"/>
    <w:rsid w:val="002E7098"/>
    <w:rsid w:val="002E73D4"/>
    <w:rsid w:val="002F15DE"/>
    <w:rsid w:val="0030023C"/>
    <w:rsid w:val="0030185F"/>
    <w:rsid w:val="003041A3"/>
    <w:rsid w:val="003049ED"/>
    <w:rsid w:val="003148B6"/>
    <w:rsid w:val="00314A87"/>
    <w:rsid w:val="00316994"/>
    <w:rsid w:val="00316E8F"/>
    <w:rsid w:val="003171A9"/>
    <w:rsid w:val="00320560"/>
    <w:rsid w:val="00322050"/>
    <w:rsid w:val="003312FE"/>
    <w:rsid w:val="003315F6"/>
    <w:rsid w:val="00332D16"/>
    <w:rsid w:val="00332F08"/>
    <w:rsid w:val="0033634D"/>
    <w:rsid w:val="0034218E"/>
    <w:rsid w:val="0035000F"/>
    <w:rsid w:val="0035174D"/>
    <w:rsid w:val="0035292C"/>
    <w:rsid w:val="00362A2A"/>
    <w:rsid w:val="003700EF"/>
    <w:rsid w:val="003713C7"/>
    <w:rsid w:val="00374DF7"/>
    <w:rsid w:val="00375EE0"/>
    <w:rsid w:val="00382296"/>
    <w:rsid w:val="003831C3"/>
    <w:rsid w:val="003915F8"/>
    <w:rsid w:val="003919BD"/>
    <w:rsid w:val="00392671"/>
    <w:rsid w:val="00397B56"/>
    <w:rsid w:val="003A0A7D"/>
    <w:rsid w:val="003A4485"/>
    <w:rsid w:val="003B0908"/>
    <w:rsid w:val="003B0A26"/>
    <w:rsid w:val="003B0A2B"/>
    <w:rsid w:val="003B0BE7"/>
    <w:rsid w:val="003B0DE9"/>
    <w:rsid w:val="003B4540"/>
    <w:rsid w:val="003B5681"/>
    <w:rsid w:val="003B6BA9"/>
    <w:rsid w:val="003C010D"/>
    <w:rsid w:val="003C27D7"/>
    <w:rsid w:val="003C6F29"/>
    <w:rsid w:val="003D0E4B"/>
    <w:rsid w:val="003D33DE"/>
    <w:rsid w:val="003D49F3"/>
    <w:rsid w:val="003D5AFA"/>
    <w:rsid w:val="003E2BC8"/>
    <w:rsid w:val="003E4E94"/>
    <w:rsid w:val="003E6AC1"/>
    <w:rsid w:val="003E78AE"/>
    <w:rsid w:val="003F7C8C"/>
    <w:rsid w:val="00404635"/>
    <w:rsid w:val="00407325"/>
    <w:rsid w:val="004145FF"/>
    <w:rsid w:val="00420779"/>
    <w:rsid w:val="00424434"/>
    <w:rsid w:val="00426878"/>
    <w:rsid w:val="004331DD"/>
    <w:rsid w:val="00433ADD"/>
    <w:rsid w:val="004403FC"/>
    <w:rsid w:val="00441826"/>
    <w:rsid w:val="00450D7C"/>
    <w:rsid w:val="0045285B"/>
    <w:rsid w:val="00454F69"/>
    <w:rsid w:val="00455753"/>
    <w:rsid w:val="0045677D"/>
    <w:rsid w:val="00471E5E"/>
    <w:rsid w:val="00476C74"/>
    <w:rsid w:val="00477640"/>
    <w:rsid w:val="0048038D"/>
    <w:rsid w:val="00482B5B"/>
    <w:rsid w:val="0049262C"/>
    <w:rsid w:val="0049311A"/>
    <w:rsid w:val="004A0DA4"/>
    <w:rsid w:val="004A1634"/>
    <w:rsid w:val="004B2828"/>
    <w:rsid w:val="004B589F"/>
    <w:rsid w:val="004B5DC6"/>
    <w:rsid w:val="004B6458"/>
    <w:rsid w:val="004C2B25"/>
    <w:rsid w:val="004C4314"/>
    <w:rsid w:val="004C63ED"/>
    <w:rsid w:val="004C666F"/>
    <w:rsid w:val="004C7370"/>
    <w:rsid w:val="004C7807"/>
    <w:rsid w:val="004C7B80"/>
    <w:rsid w:val="004D0FF4"/>
    <w:rsid w:val="004D18E4"/>
    <w:rsid w:val="004D199A"/>
    <w:rsid w:val="004D6379"/>
    <w:rsid w:val="004E0DF3"/>
    <w:rsid w:val="004E6228"/>
    <w:rsid w:val="004F1333"/>
    <w:rsid w:val="00500366"/>
    <w:rsid w:val="00502061"/>
    <w:rsid w:val="005044B2"/>
    <w:rsid w:val="00510DB6"/>
    <w:rsid w:val="00510E11"/>
    <w:rsid w:val="00516293"/>
    <w:rsid w:val="00517B4E"/>
    <w:rsid w:val="00523B5C"/>
    <w:rsid w:val="005248F1"/>
    <w:rsid w:val="00525758"/>
    <w:rsid w:val="005309D7"/>
    <w:rsid w:val="00532E2D"/>
    <w:rsid w:val="00535BBF"/>
    <w:rsid w:val="00561002"/>
    <w:rsid w:val="005672CC"/>
    <w:rsid w:val="005678FB"/>
    <w:rsid w:val="005701B7"/>
    <w:rsid w:val="00570B98"/>
    <w:rsid w:val="00580278"/>
    <w:rsid w:val="005870EE"/>
    <w:rsid w:val="005907F8"/>
    <w:rsid w:val="00592406"/>
    <w:rsid w:val="00593E5F"/>
    <w:rsid w:val="00595BA6"/>
    <w:rsid w:val="005A49D7"/>
    <w:rsid w:val="005B5367"/>
    <w:rsid w:val="005B6A2D"/>
    <w:rsid w:val="005C05B0"/>
    <w:rsid w:val="005C3064"/>
    <w:rsid w:val="005C651B"/>
    <w:rsid w:val="005C7217"/>
    <w:rsid w:val="005D5DEB"/>
    <w:rsid w:val="005E0644"/>
    <w:rsid w:val="005E0978"/>
    <w:rsid w:val="005E4E2C"/>
    <w:rsid w:val="005F1A57"/>
    <w:rsid w:val="005F68F6"/>
    <w:rsid w:val="006001DF"/>
    <w:rsid w:val="006021D5"/>
    <w:rsid w:val="00606238"/>
    <w:rsid w:val="006235E9"/>
    <w:rsid w:val="00623BE8"/>
    <w:rsid w:val="00623E19"/>
    <w:rsid w:val="00624A17"/>
    <w:rsid w:val="00630B7F"/>
    <w:rsid w:val="006376C5"/>
    <w:rsid w:val="006407C0"/>
    <w:rsid w:val="00640FCF"/>
    <w:rsid w:val="006507B1"/>
    <w:rsid w:val="00653FAF"/>
    <w:rsid w:val="00657F72"/>
    <w:rsid w:val="00662543"/>
    <w:rsid w:val="0066319D"/>
    <w:rsid w:val="006654AD"/>
    <w:rsid w:val="00666594"/>
    <w:rsid w:val="00675157"/>
    <w:rsid w:val="0067567D"/>
    <w:rsid w:val="00681BD9"/>
    <w:rsid w:val="00684D05"/>
    <w:rsid w:val="00692555"/>
    <w:rsid w:val="0069613C"/>
    <w:rsid w:val="00696FDE"/>
    <w:rsid w:val="006A06D8"/>
    <w:rsid w:val="006A380B"/>
    <w:rsid w:val="006A4E82"/>
    <w:rsid w:val="006B1505"/>
    <w:rsid w:val="006B2FE9"/>
    <w:rsid w:val="006D29E6"/>
    <w:rsid w:val="006D5602"/>
    <w:rsid w:val="006E2791"/>
    <w:rsid w:val="006E49D5"/>
    <w:rsid w:val="006F11A4"/>
    <w:rsid w:val="006F4351"/>
    <w:rsid w:val="006F7211"/>
    <w:rsid w:val="0070479F"/>
    <w:rsid w:val="0070718A"/>
    <w:rsid w:val="00712214"/>
    <w:rsid w:val="00716CFB"/>
    <w:rsid w:val="00722FA2"/>
    <w:rsid w:val="00724169"/>
    <w:rsid w:val="00725A55"/>
    <w:rsid w:val="00725E4B"/>
    <w:rsid w:val="00726FA0"/>
    <w:rsid w:val="007272D1"/>
    <w:rsid w:val="007305DB"/>
    <w:rsid w:val="007309B9"/>
    <w:rsid w:val="00731EDC"/>
    <w:rsid w:val="0073536B"/>
    <w:rsid w:val="00735DF0"/>
    <w:rsid w:val="00736DA9"/>
    <w:rsid w:val="007505E8"/>
    <w:rsid w:val="00753469"/>
    <w:rsid w:val="00757A36"/>
    <w:rsid w:val="00760F7B"/>
    <w:rsid w:val="00763CBB"/>
    <w:rsid w:val="007704AF"/>
    <w:rsid w:val="00772828"/>
    <w:rsid w:val="00775D49"/>
    <w:rsid w:val="007773BC"/>
    <w:rsid w:val="00777F73"/>
    <w:rsid w:val="00780653"/>
    <w:rsid w:val="00783B9F"/>
    <w:rsid w:val="00783C63"/>
    <w:rsid w:val="007869C1"/>
    <w:rsid w:val="007878DC"/>
    <w:rsid w:val="007A2B42"/>
    <w:rsid w:val="007A3EFC"/>
    <w:rsid w:val="007A506A"/>
    <w:rsid w:val="007B13E4"/>
    <w:rsid w:val="007B1F11"/>
    <w:rsid w:val="007B4397"/>
    <w:rsid w:val="007C18AE"/>
    <w:rsid w:val="007C4216"/>
    <w:rsid w:val="007C4879"/>
    <w:rsid w:val="007C5452"/>
    <w:rsid w:val="007C6F1C"/>
    <w:rsid w:val="007C7110"/>
    <w:rsid w:val="007C79A4"/>
    <w:rsid w:val="007D4980"/>
    <w:rsid w:val="007D7F7D"/>
    <w:rsid w:val="007E0E03"/>
    <w:rsid w:val="007F078B"/>
    <w:rsid w:val="007F31E1"/>
    <w:rsid w:val="007F3473"/>
    <w:rsid w:val="008003BA"/>
    <w:rsid w:val="00801795"/>
    <w:rsid w:val="00803057"/>
    <w:rsid w:val="00803D85"/>
    <w:rsid w:val="00806709"/>
    <w:rsid w:val="00807373"/>
    <w:rsid w:val="00811DD6"/>
    <w:rsid w:val="00813F54"/>
    <w:rsid w:val="00825635"/>
    <w:rsid w:val="008312EE"/>
    <w:rsid w:val="008373CB"/>
    <w:rsid w:val="00842072"/>
    <w:rsid w:val="00843A5B"/>
    <w:rsid w:val="00843CDE"/>
    <w:rsid w:val="00850A27"/>
    <w:rsid w:val="00851489"/>
    <w:rsid w:val="008550B3"/>
    <w:rsid w:val="00856DCC"/>
    <w:rsid w:val="0086124B"/>
    <w:rsid w:val="00862CBB"/>
    <w:rsid w:val="008657AA"/>
    <w:rsid w:val="00870D27"/>
    <w:rsid w:val="00871560"/>
    <w:rsid w:val="00871FCC"/>
    <w:rsid w:val="00872BED"/>
    <w:rsid w:val="00876142"/>
    <w:rsid w:val="00876880"/>
    <w:rsid w:val="00880119"/>
    <w:rsid w:val="0088098D"/>
    <w:rsid w:val="00890615"/>
    <w:rsid w:val="00893F67"/>
    <w:rsid w:val="008963EA"/>
    <w:rsid w:val="008974C4"/>
    <w:rsid w:val="008A3DCE"/>
    <w:rsid w:val="008A5750"/>
    <w:rsid w:val="008A5B9D"/>
    <w:rsid w:val="008B2215"/>
    <w:rsid w:val="008B320F"/>
    <w:rsid w:val="008B6C21"/>
    <w:rsid w:val="008C26B3"/>
    <w:rsid w:val="008C497B"/>
    <w:rsid w:val="008C74F3"/>
    <w:rsid w:val="008D2469"/>
    <w:rsid w:val="008D7715"/>
    <w:rsid w:val="008E598B"/>
    <w:rsid w:val="008E7FC4"/>
    <w:rsid w:val="008F50A3"/>
    <w:rsid w:val="0090140E"/>
    <w:rsid w:val="00904CF6"/>
    <w:rsid w:val="00910211"/>
    <w:rsid w:val="009171E5"/>
    <w:rsid w:val="00924067"/>
    <w:rsid w:val="0092538B"/>
    <w:rsid w:val="00926EA2"/>
    <w:rsid w:val="00926F62"/>
    <w:rsid w:val="00930C61"/>
    <w:rsid w:val="0093127C"/>
    <w:rsid w:val="00935B4A"/>
    <w:rsid w:val="00936846"/>
    <w:rsid w:val="009441BD"/>
    <w:rsid w:val="00945054"/>
    <w:rsid w:val="00946370"/>
    <w:rsid w:val="00960D70"/>
    <w:rsid w:val="00965E95"/>
    <w:rsid w:val="009704A9"/>
    <w:rsid w:val="009837B6"/>
    <w:rsid w:val="00983815"/>
    <w:rsid w:val="00983B00"/>
    <w:rsid w:val="0099003F"/>
    <w:rsid w:val="00997C11"/>
    <w:rsid w:val="009A02B8"/>
    <w:rsid w:val="009A1221"/>
    <w:rsid w:val="009A276B"/>
    <w:rsid w:val="009B0181"/>
    <w:rsid w:val="009B2409"/>
    <w:rsid w:val="009B26CC"/>
    <w:rsid w:val="009B2851"/>
    <w:rsid w:val="009C07A1"/>
    <w:rsid w:val="009C3660"/>
    <w:rsid w:val="009D3A30"/>
    <w:rsid w:val="009D73BF"/>
    <w:rsid w:val="009E4CC1"/>
    <w:rsid w:val="009F0601"/>
    <w:rsid w:val="009F4AFA"/>
    <w:rsid w:val="00A0052C"/>
    <w:rsid w:val="00A00870"/>
    <w:rsid w:val="00A019D9"/>
    <w:rsid w:val="00A03BF5"/>
    <w:rsid w:val="00A04DB6"/>
    <w:rsid w:val="00A1397A"/>
    <w:rsid w:val="00A1434E"/>
    <w:rsid w:val="00A1697E"/>
    <w:rsid w:val="00A17409"/>
    <w:rsid w:val="00A208E1"/>
    <w:rsid w:val="00A21740"/>
    <w:rsid w:val="00A23860"/>
    <w:rsid w:val="00A25F91"/>
    <w:rsid w:val="00A36B3B"/>
    <w:rsid w:val="00A433A4"/>
    <w:rsid w:val="00A43590"/>
    <w:rsid w:val="00A5058D"/>
    <w:rsid w:val="00A5328C"/>
    <w:rsid w:val="00A55F3B"/>
    <w:rsid w:val="00A56794"/>
    <w:rsid w:val="00A571BC"/>
    <w:rsid w:val="00A61308"/>
    <w:rsid w:val="00A62026"/>
    <w:rsid w:val="00A66B87"/>
    <w:rsid w:val="00A75A55"/>
    <w:rsid w:val="00A83328"/>
    <w:rsid w:val="00A858E8"/>
    <w:rsid w:val="00A94DBF"/>
    <w:rsid w:val="00AA09D5"/>
    <w:rsid w:val="00AA3EF1"/>
    <w:rsid w:val="00AA44D0"/>
    <w:rsid w:val="00AA689D"/>
    <w:rsid w:val="00AA77B6"/>
    <w:rsid w:val="00AB1CD1"/>
    <w:rsid w:val="00AB5CA9"/>
    <w:rsid w:val="00AB7ED3"/>
    <w:rsid w:val="00AD0990"/>
    <w:rsid w:val="00AD09A6"/>
    <w:rsid w:val="00AD57F8"/>
    <w:rsid w:val="00AE2342"/>
    <w:rsid w:val="00AF2CA4"/>
    <w:rsid w:val="00AF3D97"/>
    <w:rsid w:val="00B051D2"/>
    <w:rsid w:val="00B1175F"/>
    <w:rsid w:val="00B1362B"/>
    <w:rsid w:val="00B20686"/>
    <w:rsid w:val="00B20C14"/>
    <w:rsid w:val="00B21FE5"/>
    <w:rsid w:val="00B251C9"/>
    <w:rsid w:val="00B321F5"/>
    <w:rsid w:val="00B41A45"/>
    <w:rsid w:val="00B45EF5"/>
    <w:rsid w:val="00B51146"/>
    <w:rsid w:val="00B5380A"/>
    <w:rsid w:val="00B54E3D"/>
    <w:rsid w:val="00B6009A"/>
    <w:rsid w:val="00B61D29"/>
    <w:rsid w:val="00B6351D"/>
    <w:rsid w:val="00B6458F"/>
    <w:rsid w:val="00B714A5"/>
    <w:rsid w:val="00B72FAE"/>
    <w:rsid w:val="00B7758A"/>
    <w:rsid w:val="00B84356"/>
    <w:rsid w:val="00B84FC5"/>
    <w:rsid w:val="00B9077B"/>
    <w:rsid w:val="00B9301B"/>
    <w:rsid w:val="00BA02BC"/>
    <w:rsid w:val="00BA20D6"/>
    <w:rsid w:val="00BA4005"/>
    <w:rsid w:val="00BA59DE"/>
    <w:rsid w:val="00BA74BC"/>
    <w:rsid w:val="00BB0E50"/>
    <w:rsid w:val="00BB3631"/>
    <w:rsid w:val="00BB47CB"/>
    <w:rsid w:val="00BB60A9"/>
    <w:rsid w:val="00BB6339"/>
    <w:rsid w:val="00BC7933"/>
    <w:rsid w:val="00BD33FB"/>
    <w:rsid w:val="00BD5E33"/>
    <w:rsid w:val="00BD62FC"/>
    <w:rsid w:val="00BD732F"/>
    <w:rsid w:val="00BE09F5"/>
    <w:rsid w:val="00BE2928"/>
    <w:rsid w:val="00BF377F"/>
    <w:rsid w:val="00BF3DE2"/>
    <w:rsid w:val="00BF7C3E"/>
    <w:rsid w:val="00C013CA"/>
    <w:rsid w:val="00C027F5"/>
    <w:rsid w:val="00C15490"/>
    <w:rsid w:val="00C20B1E"/>
    <w:rsid w:val="00C21379"/>
    <w:rsid w:val="00C3261F"/>
    <w:rsid w:val="00C35581"/>
    <w:rsid w:val="00C423C0"/>
    <w:rsid w:val="00C43F76"/>
    <w:rsid w:val="00C450D5"/>
    <w:rsid w:val="00C528C2"/>
    <w:rsid w:val="00C54861"/>
    <w:rsid w:val="00C600B8"/>
    <w:rsid w:val="00C638DE"/>
    <w:rsid w:val="00C65E45"/>
    <w:rsid w:val="00C70395"/>
    <w:rsid w:val="00C74FEE"/>
    <w:rsid w:val="00C76E01"/>
    <w:rsid w:val="00C80B55"/>
    <w:rsid w:val="00C85BA9"/>
    <w:rsid w:val="00C87145"/>
    <w:rsid w:val="00C93201"/>
    <w:rsid w:val="00CA3BF8"/>
    <w:rsid w:val="00CA560C"/>
    <w:rsid w:val="00CA6915"/>
    <w:rsid w:val="00CB14E6"/>
    <w:rsid w:val="00CB1C76"/>
    <w:rsid w:val="00CB3239"/>
    <w:rsid w:val="00CB3561"/>
    <w:rsid w:val="00CB4CF0"/>
    <w:rsid w:val="00CC7EFE"/>
    <w:rsid w:val="00CD2D14"/>
    <w:rsid w:val="00CD4760"/>
    <w:rsid w:val="00CD7621"/>
    <w:rsid w:val="00CE0E49"/>
    <w:rsid w:val="00CE2DEF"/>
    <w:rsid w:val="00CE455C"/>
    <w:rsid w:val="00CE47F7"/>
    <w:rsid w:val="00CE63FF"/>
    <w:rsid w:val="00CE6886"/>
    <w:rsid w:val="00CE71B6"/>
    <w:rsid w:val="00CE7B6E"/>
    <w:rsid w:val="00CF06DF"/>
    <w:rsid w:val="00CF5922"/>
    <w:rsid w:val="00D00119"/>
    <w:rsid w:val="00D01D03"/>
    <w:rsid w:val="00D01EA5"/>
    <w:rsid w:val="00D05624"/>
    <w:rsid w:val="00D07718"/>
    <w:rsid w:val="00D119C1"/>
    <w:rsid w:val="00D11C9C"/>
    <w:rsid w:val="00D127C7"/>
    <w:rsid w:val="00D175B5"/>
    <w:rsid w:val="00D176C2"/>
    <w:rsid w:val="00D276AF"/>
    <w:rsid w:val="00D27AEB"/>
    <w:rsid w:val="00D300E9"/>
    <w:rsid w:val="00D359FF"/>
    <w:rsid w:val="00D477AE"/>
    <w:rsid w:val="00D53D60"/>
    <w:rsid w:val="00D56F4E"/>
    <w:rsid w:val="00D57BE8"/>
    <w:rsid w:val="00D61281"/>
    <w:rsid w:val="00D6325B"/>
    <w:rsid w:val="00D635E7"/>
    <w:rsid w:val="00D70037"/>
    <w:rsid w:val="00D72192"/>
    <w:rsid w:val="00D75177"/>
    <w:rsid w:val="00D75699"/>
    <w:rsid w:val="00D80E91"/>
    <w:rsid w:val="00D843B8"/>
    <w:rsid w:val="00D845A7"/>
    <w:rsid w:val="00D86936"/>
    <w:rsid w:val="00DA4F91"/>
    <w:rsid w:val="00DA66DC"/>
    <w:rsid w:val="00DB4F78"/>
    <w:rsid w:val="00DC453A"/>
    <w:rsid w:val="00DD0C05"/>
    <w:rsid w:val="00DD2D58"/>
    <w:rsid w:val="00DD4BAB"/>
    <w:rsid w:val="00DE5494"/>
    <w:rsid w:val="00DF33B1"/>
    <w:rsid w:val="00E0013C"/>
    <w:rsid w:val="00E01B0F"/>
    <w:rsid w:val="00E02558"/>
    <w:rsid w:val="00E03828"/>
    <w:rsid w:val="00E10862"/>
    <w:rsid w:val="00E13A1A"/>
    <w:rsid w:val="00E167F6"/>
    <w:rsid w:val="00E21CE8"/>
    <w:rsid w:val="00E30616"/>
    <w:rsid w:val="00E30EEE"/>
    <w:rsid w:val="00E34F62"/>
    <w:rsid w:val="00E41709"/>
    <w:rsid w:val="00E43456"/>
    <w:rsid w:val="00E504F0"/>
    <w:rsid w:val="00E52D87"/>
    <w:rsid w:val="00E559F9"/>
    <w:rsid w:val="00E57192"/>
    <w:rsid w:val="00E57603"/>
    <w:rsid w:val="00E57AA7"/>
    <w:rsid w:val="00E66A30"/>
    <w:rsid w:val="00E671FD"/>
    <w:rsid w:val="00E71933"/>
    <w:rsid w:val="00E73DD8"/>
    <w:rsid w:val="00E8117F"/>
    <w:rsid w:val="00E857E8"/>
    <w:rsid w:val="00E85ACD"/>
    <w:rsid w:val="00E86762"/>
    <w:rsid w:val="00E90C06"/>
    <w:rsid w:val="00E92424"/>
    <w:rsid w:val="00E947FF"/>
    <w:rsid w:val="00EA1E51"/>
    <w:rsid w:val="00EA2A09"/>
    <w:rsid w:val="00EA4098"/>
    <w:rsid w:val="00EA551C"/>
    <w:rsid w:val="00EA5816"/>
    <w:rsid w:val="00EA6FDC"/>
    <w:rsid w:val="00EB0919"/>
    <w:rsid w:val="00EB0AB1"/>
    <w:rsid w:val="00EB318A"/>
    <w:rsid w:val="00EC4C65"/>
    <w:rsid w:val="00EC6773"/>
    <w:rsid w:val="00EC7F3B"/>
    <w:rsid w:val="00EC7FCF"/>
    <w:rsid w:val="00ED0A5C"/>
    <w:rsid w:val="00ED571D"/>
    <w:rsid w:val="00EE026E"/>
    <w:rsid w:val="00EE1254"/>
    <w:rsid w:val="00EE3ADE"/>
    <w:rsid w:val="00EF0FCB"/>
    <w:rsid w:val="00EF11E2"/>
    <w:rsid w:val="00EF2416"/>
    <w:rsid w:val="00F0011B"/>
    <w:rsid w:val="00F0042F"/>
    <w:rsid w:val="00F0494D"/>
    <w:rsid w:val="00F05F97"/>
    <w:rsid w:val="00F07BA5"/>
    <w:rsid w:val="00F17340"/>
    <w:rsid w:val="00F17768"/>
    <w:rsid w:val="00F21C38"/>
    <w:rsid w:val="00F2433B"/>
    <w:rsid w:val="00F24A3B"/>
    <w:rsid w:val="00F259F4"/>
    <w:rsid w:val="00F26C79"/>
    <w:rsid w:val="00F42CCD"/>
    <w:rsid w:val="00F4564E"/>
    <w:rsid w:val="00F50BB5"/>
    <w:rsid w:val="00F51133"/>
    <w:rsid w:val="00F522DC"/>
    <w:rsid w:val="00F536D7"/>
    <w:rsid w:val="00F70B3F"/>
    <w:rsid w:val="00F72353"/>
    <w:rsid w:val="00F75B1A"/>
    <w:rsid w:val="00F82CAE"/>
    <w:rsid w:val="00F84670"/>
    <w:rsid w:val="00F846BA"/>
    <w:rsid w:val="00F856FF"/>
    <w:rsid w:val="00F85D38"/>
    <w:rsid w:val="00F8607B"/>
    <w:rsid w:val="00F86B11"/>
    <w:rsid w:val="00F91A09"/>
    <w:rsid w:val="00FA08E5"/>
    <w:rsid w:val="00FA5511"/>
    <w:rsid w:val="00FA707E"/>
    <w:rsid w:val="00FB2C89"/>
    <w:rsid w:val="00FB6EEE"/>
    <w:rsid w:val="00FB7B17"/>
    <w:rsid w:val="00FC1167"/>
    <w:rsid w:val="00FC3AFC"/>
    <w:rsid w:val="00FC5A1C"/>
    <w:rsid w:val="00FC73AE"/>
    <w:rsid w:val="00FD5D1A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Ornit</cp:lastModifiedBy>
  <cp:revision>1</cp:revision>
  <dcterms:created xsi:type="dcterms:W3CDTF">2017-05-07T20:22:00Z</dcterms:created>
  <dcterms:modified xsi:type="dcterms:W3CDTF">2017-05-07T20:23:00Z</dcterms:modified>
</cp:coreProperties>
</file>